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321ED" w14:textId="77777777" w:rsidR="00DB640B" w:rsidRPr="00DB640B" w:rsidRDefault="00DB640B" w:rsidP="00DB64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jc w:val="center"/>
        <w:outlineLvl w:val="1"/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</w:pPr>
      <w:bookmarkStart w:id="0" w:name="_Toc202030005"/>
      <w:bookmarkStart w:id="1" w:name="_Toc202030555"/>
      <w:r w:rsidRPr="00DB640B"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  <w:t>L’ESCLAVAGE ET LE TRAVAIL FORCÉ</w:t>
      </w:r>
      <w:bookmarkEnd w:id="0"/>
      <w:bookmarkEnd w:id="1"/>
    </w:p>
    <w:p w14:paraId="1759492E" w14:textId="77777777" w:rsidR="00DB640B" w:rsidRPr="00DB640B" w:rsidRDefault="00DB640B" w:rsidP="00DB64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jc w:val="center"/>
        <w:rPr>
          <w:rFonts w:ascii="Calibri" w:eastAsia="Calibri" w:hAnsi="Calibri" w:cs="Calibri"/>
        </w:rPr>
      </w:pPr>
      <w:r w:rsidRPr="00DB640B">
        <w:rPr>
          <w:rFonts w:ascii="Calibri" w:eastAsia="Calibri" w:hAnsi="Calibri" w:cs="Calibri"/>
        </w:rPr>
        <w:t>- Fiche n°12 -</w:t>
      </w:r>
    </w:p>
    <w:p w14:paraId="57593982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15001B3A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  <w:r w:rsidRPr="00DB640B">
        <w:rPr>
          <w:rFonts w:ascii="Calibri" w:hAnsi="Calibri" w:cs="Calibri"/>
          <w:u w:val="single"/>
        </w:rPr>
        <w:t>Plan de la fiche</w:t>
      </w:r>
      <w:r w:rsidRPr="00DB640B">
        <w:rPr>
          <w:rFonts w:ascii="Calibri" w:hAnsi="Calibri" w:cs="Calibri"/>
        </w:rPr>
        <w:t> :</w:t>
      </w:r>
    </w:p>
    <w:p w14:paraId="4021423B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56F6BA2F" w14:textId="77777777" w:rsidR="00DB640B" w:rsidRPr="00DB640B" w:rsidRDefault="00DB640B" w:rsidP="00DB640B">
      <w:pPr>
        <w:ind w:firstLine="0"/>
        <w:rPr>
          <w:rFonts w:ascii="Calibri" w:hAnsi="Calibri" w:cs="Calibri"/>
          <w:i/>
          <w:iCs/>
        </w:rPr>
      </w:pPr>
      <w:r w:rsidRPr="00DB640B">
        <w:rPr>
          <w:rFonts w:ascii="Calibri" w:hAnsi="Calibri" w:cs="Calibri"/>
          <w:i/>
          <w:iCs/>
        </w:rPr>
        <w:t>§1 : L’esclavage et la servitude</w:t>
      </w:r>
    </w:p>
    <w:p w14:paraId="5251745D" w14:textId="77777777" w:rsidR="00DB640B" w:rsidRPr="00DB640B" w:rsidRDefault="00DB640B" w:rsidP="00DB640B">
      <w:pPr>
        <w:numPr>
          <w:ilvl w:val="0"/>
          <w:numId w:val="7"/>
        </w:numPr>
        <w:contextualSpacing/>
        <w:rPr>
          <w:rFonts w:ascii="Calibri" w:hAnsi="Calibri" w:cs="Calibri"/>
          <w:i/>
          <w:iCs/>
        </w:rPr>
      </w:pPr>
      <w:r w:rsidRPr="00DB640B">
        <w:rPr>
          <w:rFonts w:ascii="Calibri" w:hAnsi="Calibri" w:cs="Calibri"/>
          <w:i/>
          <w:iCs/>
        </w:rPr>
        <w:t>La notion d’esclavage</w:t>
      </w:r>
    </w:p>
    <w:p w14:paraId="19EA0514" w14:textId="77777777" w:rsidR="00DB640B" w:rsidRPr="00DB640B" w:rsidRDefault="00DB640B" w:rsidP="00DB640B">
      <w:pPr>
        <w:numPr>
          <w:ilvl w:val="0"/>
          <w:numId w:val="7"/>
        </w:numPr>
        <w:contextualSpacing/>
        <w:rPr>
          <w:rFonts w:ascii="Calibri" w:hAnsi="Calibri" w:cs="Calibri"/>
          <w:i/>
          <w:iCs/>
        </w:rPr>
      </w:pPr>
      <w:r w:rsidRPr="00DB640B">
        <w:rPr>
          <w:rFonts w:ascii="Calibri" w:hAnsi="Calibri" w:cs="Calibri"/>
          <w:i/>
          <w:iCs/>
        </w:rPr>
        <w:t>Esclavage et servitude</w:t>
      </w:r>
    </w:p>
    <w:p w14:paraId="41D19C51" w14:textId="77777777" w:rsidR="00DB640B" w:rsidRPr="00DB640B" w:rsidRDefault="00DB640B" w:rsidP="00DB640B">
      <w:pPr>
        <w:numPr>
          <w:ilvl w:val="0"/>
          <w:numId w:val="7"/>
        </w:numPr>
        <w:contextualSpacing/>
        <w:rPr>
          <w:rFonts w:ascii="Calibri" w:hAnsi="Calibri" w:cs="Calibri"/>
          <w:i/>
          <w:iCs/>
        </w:rPr>
      </w:pPr>
      <w:r w:rsidRPr="00DB640B">
        <w:rPr>
          <w:rFonts w:ascii="Calibri" w:hAnsi="Calibri" w:cs="Calibri"/>
          <w:i/>
          <w:iCs/>
        </w:rPr>
        <w:t xml:space="preserve">La protection contre l’esclavage et la servitude </w:t>
      </w:r>
    </w:p>
    <w:p w14:paraId="2166B747" w14:textId="77777777" w:rsidR="00DB640B" w:rsidRPr="00DB640B" w:rsidRDefault="00DB640B" w:rsidP="00DB640B">
      <w:pPr>
        <w:ind w:firstLine="0"/>
        <w:rPr>
          <w:rFonts w:ascii="Calibri" w:hAnsi="Calibri" w:cs="Calibri"/>
          <w:i/>
          <w:iCs/>
        </w:rPr>
      </w:pPr>
      <w:r w:rsidRPr="00DB640B">
        <w:rPr>
          <w:rFonts w:ascii="Calibri" w:hAnsi="Calibri" w:cs="Calibri"/>
          <w:i/>
          <w:iCs/>
        </w:rPr>
        <w:t>§2 : Le travail forcé</w:t>
      </w:r>
    </w:p>
    <w:p w14:paraId="7C91EF30" w14:textId="77777777" w:rsidR="00DB640B" w:rsidRPr="00DB640B" w:rsidRDefault="00DB640B" w:rsidP="00DB640B">
      <w:pPr>
        <w:pBdr>
          <w:bottom w:val="single" w:sz="6" w:space="1" w:color="auto"/>
        </w:pBdr>
        <w:ind w:firstLine="0"/>
        <w:rPr>
          <w:rFonts w:ascii="Calibri" w:hAnsi="Calibri" w:cs="Calibri"/>
        </w:rPr>
      </w:pPr>
    </w:p>
    <w:p w14:paraId="059200D3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4D363FD8" w14:textId="77777777" w:rsidR="00DB640B" w:rsidRPr="00DB640B" w:rsidRDefault="00DB640B" w:rsidP="00DB640B">
      <w:pPr>
        <w:ind w:firstLine="0"/>
        <w:jc w:val="left"/>
        <w:rPr>
          <w:rFonts w:ascii="Calibri" w:hAnsi="Calibri" w:cs="Calibri"/>
          <w:b/>
          <w:bCs/>
          <w:color w:val="0070C0"/>
          <w:kern w:val="0"/>
          <w:sz w:val="28"/>
          <w:szCs w:val="28"/>
          <w14:ligatures w14:val="none"/>
        </w:rPr>
      </w:pPr>
      <w:r w:rsidRPr="00DB640B">
        <w:rPr>
          <w:rFonts w:ascii="Calibri" w:hAnsi="Calibri" w:cs="Calibri"/>
          <w:b/>
          <w:bCs/>
          <w:color w:val="0070C0"/>
          <w:kern w:val="0"/>
          <w:sz w:val="28"/>
          <w:szCs w:val="28"/>
          <w14:ligatures w14:val="none"/>
        </w:rPr>
        <w:t>§1 : L’esclavage et la servitude</w:t>
      </w:r>
    </w:p>
    <w:p w14:paraId="353C2D37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609F7876" w14:textId="77777777" w:rsidR="00DB640B" w:rsidRPr="00DB640B" w:rsidRDefault="00DB640B" w:rsidP="00DB640B">
      <w:pPr>
        <w:numPr>
          <w:ilvl w:val="0"/>
          <w:numId w:val="1"/>
        </w:numPr>
        <w:contextualSpacing/>
        <w:rPr>
          <w:rFonts w:ascii="Calibri" w:hAnsi="Calibri" w:cs="Calibri"/>
          <w:b/>
          <w:bCs/>
          <w:color w:val="E97132" w:themeColor="accent2"/>
          <w:u w:val="single"/>
        </w:rPr>
      </w:pPr>
      <w:r w:rsidRPr="00DB640B">
        <w:rPr>
          <w:rFonts w:ascii="Calibri" w:hAnsi="Calibri" w:cs="Calibri"/>
          <w:b/>
          <w:bCs/>
          <w:color w:val="E97132" w:themeColor="accent2"/>
          <w:u w:val="single"/>
        </w:rPr>
        <w:t>La notion d’esclavage</w:t>
      </w:r>
    </w:p>
    <w:p w14:paraId="60DD2CC5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200B5C9B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  <w:r w:rsidRPr="00DB640B">
        <w:rPr>
          <w:rFonts w:ascii="Calibri" w:hAnsi="Calibri" w:cs="Calibri"/>
          <w:b/>
          <w:bCs/>
          <w:color w:val="C00000"/>
        </w:rPr>
        <w:t>L’</w:t>
      </w:r>
      <w:r w:rsidRPr="00DB640B">
        <w:rPr>
          <w:rFonts w:ascii="Calibri" w:hAnsi="Calibri" w:cs="Calibri"/>
          <w:b/>
          <w:bCs/>
          <w:color w:val="C00000"/>
          <w:u w:val="single"/>
        </w:rPr>
        <w:t>esclavage</w:t>
      </w:r>
      <w:r w:rsidRPr="00DB640B">
        <w:rPr>
          <w:rFonts w:ascii="Calibri" w:hAnsi="Calibri" w:cs="Calibri"/>
          <w:b/>
          <w:bCs/>
          <w:color w:val="C00000"/>
        </w:rPr>
        <w:t xml:space="preserve"> est l’état ou la condition d’un individu sur lequel s’exercent les attributs du droit de propriété ou certains d’entre eux</w:t>
      </w:r>
      <w:r w:rsidRPr="00DB640B">
        <w:rPr>
          <w:rFonts w:ascii="Calibri" w:hAnsi="Calibri" w:cs="Calibri"/>
          <w:color w:val="C00000"/>
        </w:rPr>
        <w:t xml:space="preserve"> </w:t>
      </w:r>
      <w:r w:rsidRPr="00DB640B">
        <w:rPr>
          <w:rFonts w:ascii="Calibri" w:hAnsi="Calibri" w:cs="Calibri"/>
        </w:rPr>
        <w:t>(</w:t>
      </w:r>
      <w:r w:rsidRPr="00DB640B">
        <w:rPr>
          <w:rFonts w:ascii="Calibri" w:hAnsi="Calibri" w:cs="Calibri"/>
          <w:b/>
          <w:bCs/>
          <w:highlight w:val="lightGray"/>
        </w:rPr>
        <w:t xml:space="preserve">CEDH 26 juil. 2005, </w:t>
      </w:r>
      <w:proofErr w:type="spellStart"/>
      <w:r w:rsidRPr="00DB640B">
        <w:rPr>
          <w:rFonts w:ascii="Calibri" w:hAnsi="Calibri" w:cs="Calibri"/>
          <w:b/>
          <w:bCs/>
          <w:highlight w:val="lightGray"/>
        </w:rPr>
        <w:t>Siliadin</w:t>
      </w:r>
      <w:proofErr w:type="spellEnd"/>
      <w:r w:rsidRPr="00DB640B">
        <w:rPr>
          <w:rFonts w:ascii="Calibri" w:hAnsi="Calibri" w:cs="Calibri"/>
          <w:b/>
          <w:bCs/>
          <w:highlight w:val="lightGray"/>
        </w:rPr>
        <w:t xml:space="preserve"> c/ France</w:t>
      </w:r>
      <w:r w:rsidRPr="00DB640B">
        <w:rPr>
          <w:rFonts w:ascii="Calibri" w:hAnsi="Calibri" w:cs="Calibri"/>
        </w:rPr>
        <w:t>).</w:t>
      </w:r>
    </w:p>
    <w:p w14:paraId="6EEC7462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0039B7C9" w14:textId="77777777" w:rsidR="00DB640B" w:rsidRPr="00DB640B" w:rsidRDefault="00DB640B" w:rsidP="00DB640B">
      <w:pPr>
        <w:ind w:firstLine="0"/>
        <w:rPr>
          <w:rFonts w:ascii="Calibri" w:hAnsi="Calibri" w:cs="Calibri"/>
          <w:i/>
          <w:iCs/>
          <w:sz w:val="20"/>
          <w:szCs w:val="20"/>
        </w:rPr>
      </w:pPr>
      <w:r w:rsidRPr="00DB640B">
        <w:rPr>
          <w:rFonts w:ascii="Calibri" w:hAnsi="Calibri" w:cs="Calibri"/>
          <w:i/>
          <w:iCs/>
          <w:sz w:val="20"/>
          <w:szCs w:val="20"/>
        </w:rPr>
        <w:t>À noter : cette définition utilisée par la Cour EDH se fonde sur la définition donnée par la Convention de Genève relative à l’abolition de l’esclavage (1926), adoptée dans le cadre de la Société des nations.</w:t>
      </w:r>
    </w:p>
    <w:p w14:paraId="414C47F3" w14:textId="77777777" w:rsidR="00DB640B" w:rsidRPr="00DB640B" w:rsidRDefault="00DB640B" w:rsidP="00DB640B">
      <w:pPr>
        <w:rPr>
          <w:rFonts w:ascii="Calibri" w:hAnsi="Calibri" w:cs="Calibri"/>
          <w:i/>
          <w:iCs/>
          <w:sz w:val="20"/>
          <w:szCs w:val="20"/>
        </w:rPr>
      </w:pPr>
    </w:p>
    <w:p w14:paraId="26711C62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  <w:r w:rsidRPr="00DB640B">
        <w:rPr>
          <w:rFonts w:ascii="Calibri" w:hAnsi="Calibri" w:cs="Calibri"/>
        </w:rPr>
        <w:t xml:space="preserve">Avec l’esclavage, l’individu est réduit au statut de </w:t>
      </w:r>
      <w:r w:rsidRPr="00DB640B">
        <w:rPr>
          <w:rFonts w:ascii="Calibri" w:hAnsi="Calibri" w:cs="Calibri"/>
          <w:b/>
          <w:bCs/>
        </w:rPr>
        <w:t>chose</w:t>
      </w:r>
      <w:r w:rsidRPr="00DB640B">
        <w:rPr>
          <w:rFonts w:ascii="Calibri" w:hAnsi="Calibri" w:cs="Calibri"/>
        </w:rPr>
        <w:t xml:space="preserve">. </w:t>
      </w:r>
    </w:p>
    <w:p w14:paraId="5C5A9B10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1AFBAF3F" w14:textId="77777777" w:rsidR="00DB640B" w:rsidRPr="00DB640B" w:rsidRDefault="00DB640B" w:rsidP="00DB640B">
      <w:pPr>
        <w:ind w:firstLine="0"/>
        <w:rPr>
          <w:rFonts w:ascii="Calibri" w:hAnsi="Calibri" w:cs="Calibri"/>
          <w:sz w:val="20"/>
          <w:szCs w:val="20"/>
        </w:rPr>
      </w:pPr>
      <w:r w:rsidRPr="00DB640B">
        <w:rPr>
          <w:rFonts w:ascii="Calibri" w:hAnsi="Calibri" w:cs="Calibri"/>
          <w:sz w:val="20"/>
          <w:szCs w:val="20"/>
        </w:rPr>
        <w:t>Dates importantes :</w:t>
      </w:r>
    </w:p>
    <w:p w14:paraId="447ED615" w14:textId="77777777" w:rsidR="00DB640B" w:rsidRPr="00DB640B" w:rsidRDefault="00DB640B" w:rsidP="00DB640B">
      <w:pPr>
        <w:numPr>
          <w:ilvl w:val="0"/>
          <w:numId w:val="3"/>
        </w:numPr>
        <w:contextualSpacing/>
        <w:rPr>
          <w:rFonts w:ascii="Calibri" w:hAnsi="Calibri" w:cs="Calibri"/>
          <w:sz w:val="20"/>
          <w:szCs w:val="20"/>
        </w:rPr>
      </w:pPr>
      <w:r w:rsidRPr="00DB640B">
        <w:rPr>
          <w:rFonts w:ascii="Calibri" w:hAnsi="Calibri" w:cs="Calibri"/>
          <w:sz w:val="20"/>
          <w:szCs w:val="20"/>
        </w:rPr>
        <w:t>1685 : adoption du Code Noir par Louis XIV qui régit le statut des esclaves dans les colonies françaises</w:t>
      </w:r>
    </w:p>
    <w:p w14:paraId="50E7C76F" w14:textId="77777777" w:rsidR="00DB640B" w:rsidRPr="00DB640B" w:rsidRDefault="00DB640B" w:rsidP="00DB640B">
      <w:pPr>
        <w:numPr>
          <w:ilvl w:val="0"/>
          <w:numId w:val="2"/>
        </w:numPr>
        <w:contextualSpacing/>
        <w:rPr>
          <w:rFonts w:ascii="Calibri" w:hAnsi="Calibri" w:cs="Calibri"/>
          <w:sz w:val="20"/>
          <w:szCs w:val="20"/>
        </w:rPr>
      </w:pPr>
      <w:r w:rsidRPr="00DB640B">
        <w:rPr>
          <w:rFonts w:ascii="Calibri" w:hAnsi="Calibri" w:cs="Calibri"/>
          <w:sz w:val="20"/>
          <w:szCs w:val="20"/>
        </w:rPr>
        <w:t>1794 : un décret abroge le Code Noir et ainsi abolit l’esclavage</w:t>
      </w:r>
    </w:p>
    <w:p w14:paraId="66DAC510" w14:textId="77777777" w:rsidR="00DB640B" w:rsidRPr="00DB640B" w:rsidRDefault="00DB640B" w:rsidP="00DB640B">
      <w:pPr>
        <w:numPr>
          <w:ilvl w:val="0"/>
          <w:numId w:val="2"/>
        </w:numPr>
        <w:contextualSpacing/>
        <w:rPr>
          <w:rFonts w:ascii="Calibri" w:hAnsi="Calibri" w:cs="Calibri"/>
          <w:sz w:val="20"/>
          <w:szCs w:val="20"/>
        </w:rPr>
      </w:pPr>
      <w:r w:rsidRPr="00DB640B">
        <w:rPr>
          <w:rFonts w:ascii="Calibri" w:hAnsi="Calibri" w:cs="Calibri"/>
          <w:sz w:val="20"/>
          <w:szCs w:val="20"/>
        </w:rPr>
        <w:t>1802 : Napoléon Bonaparte rétablit l’esclavage</w:t>
      </w:r>
    </w:p>
    <w:p w14:paraId="71C6EB8C" w14:textId="77777777" w:rsidR="00DB640B" w:rsidRPr="00DB640B" w:rsidRDefault="00DB640B" w:rsidP="00DB640B">
      <w:pPr>
        <w:numPr>
          <w:ilvl w:val="0"/>
          <w:numId w:val="2"/>
        </w:numPr>
        <w:contextualSpacing/>
        <w:rPr>
          <w:rFonts w:ascii="Calibri" w:hAnsi="Calibri" w:cs="Calibri"/>
          <w:sz w:val="20"/>
          <w:szCs w:val="20"/>
        </w:rPr>
      </w:pPr>
      <w:r w:rsidRPr="00DB640B">
        <w:rPr>
          <w:rFonts w:ascii="Calibri" w:hAnsi="Calibri" w:cs="Calibri"/>
          <w:sz w:val="20"/>
          <w:szCs w:val="20"/>
        </w:rPr>
        <w:t xml:space="preserve">1848 : </w:t>
      </w:r>
      <w:r w:rsidRPr="00DB640B">
        <w:rPr>
          <w:rFonts w:ascii="Calibri" w:hAnsi="Calibri" w:cs="Calibri"/>
          <w:b/>
          <w:bCs/>
          <w:sz w:val="20"/>
          <w:szCs w:val="20"/>
        </w:rPr>
        <w:t>décret Schoelcher</w:t>
      </w:r>
      <w:r w:rsidRPr="00DB640B">
        <w:rPr>
          <w:rFonts w:ascii="Calibri" w:hAnsi="Calibri" w:cs="Calibri"/>
          <w:sz w:val="20"/>
          <w:szCs w:val="20"/>
        </w:rPr>
        <w:t xml:space="preserve"> – L’esclavage est aboli</w:t>
      </w:r>
    </w:p>
    <w:p w14:paraId="774759E9" w14:textId="77777777" w:rsidR="00DB640B" w:rsidRPr="00DB640B" w:rsidRDefault="00DB640B" w:rsidP="00DB640B">
      <w:pPr>
        <w:numPr>
          <w:ilvl w:val="0"/>
          <w:numId w:val="2"/>
        </w:numPr>
        <w:contextualSpacing/>
        <w:rPr>
          <w:rFonts w:ascii="Calibri" w:hAnsi="Calibri" w:cs="Calibri"/>
          <w:sz w:val="20"/>
          <w:szCs w:val="20"/>
        </w:rPr>
      </w:pPr>
      <w:r w:rsidRPr="00DB640B">
        <w:rPr>
          <w:rFonts w:ascii="Calibri" w:hAnsi="Calibri" w:cs="Calibri"/>
          <w:sz w:val="20"/>
          <w:szCs w:val="20"/>
        </w:rPr>
        <w:t xml:space="preserve">2001 : la </w:t>
      </w:r>
      <w:r w:rsidRPr="00DB640B">
        <w:rPr>
          <w:rFonts w:ascii="Calibri" w:hAnsi="Calibri" w:cs="Calibri"/>
          <w:b/>
          <w:bCs/>
          <w:sz w:val="20"/>
          <w:szCs w:val="20"/>
          <w:highlight w:val="yellow"/>
        </w:rPr>
        <w:t>loi Taubira du 21 mai 2001</w:t>
      </w:r>
      <w:r w:rsidRPr="00DB640B">
        <w:rPr>
          <w:rFonts w:ascii="Calibri" w:hAnsi="Calibri" w:cs="Calibri"/>
          <w:sz w:val="20"/>
          <w:szCs w:val="20"/>
        </w:rPr>
        <w:t xml:space="preserve"> qualifie la traite et l’esclavage perpétrés à partir du 15e siècle comme des « crimes contre l’humanité »</w:t>
      </w:r>
    </w:p>
    <w:p w14:paraId="075129D2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4FBE1F9A" w14:textId="77777777" w:rsidR="00DB640B" w:rsidRPr="00DB640B" w:rsidRDefault="00DB640B" w:rsidP="00DB640B">
      <w:pPr>
        <w:numPr>
          <w:ilvl w:val="0"/>
          <w:numId w:val="1"/>
        </w:numPr>
        <w:contextualSpacing/>
        <w:rPr>
          <w:rFonts w:ascii="Calibri" w:hAnsi="Calibri" w:cs="Calibri"/>
          <w:b/>
          <w:bCs/>
          <w:color w:val="E97132" w:themeColor="accent2"/>
          <w:u w:val="single"/>
        </w:rPr>
      </w:pPr>
      <w:r w:rsidRPr="00DB640B">
        <w:rPr>
          <w:rFonts w:ascii="Calibri" w:hAnsi="Calibri" w:cs="Calibri"/>
          <w:b/>
          <w:bCs/>
          <w:color w:val="E97132" w:themeColor="accent2"/>
          <w:u w:val="single"/>
        </w:rPr>
        <w:t>Esclavage et servitude</w:t>
      </w:r>
    </w:p>
    <w:p w14:paraId="4BCF2745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6522511D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  <w:r w:rsidRPr="00DB640B">
        <w:rPr>
          <w:rFonts w:ascii="Calibri" w:hAnsi="Calibri" w:cs="Calibri"/>
        </w:rPr>
        <w:t xml:space="preserve">L’esclavage se distingue de la servitude : </w:t>
      </w:r>
    </w:p>
    <w:p w14:paraId="708EB793" w14:textId="77777777" w:rsidR="00DB640B" w:rsidRPr="00DB640B" w:rsidRDefault="00DB640B" w:rsidP="00DB640B">
      <w:pPr>
        <w:numPr>
          <w:ilvl w:val="0"/>
          <w:numId w:val="5"/>
        </w:numPr>
        <w:contextualSpacing/>
        <w:rPr>
          <w:rFonts w:ascii="Calibri" w:hAnsi="Calibri" w:cs="Calibri"/>
        </w:rPr>
      </w:pPr>
      <w:r w:rsidRPr="00DB640B">
        <w:rPr>
          <w:rFonts w:ascii="Calibri" w:hAnsi="Calibri" w:cs="Calibri"/>
        </w:rPr>
        <w:t>Dans l’</w:t>
      </w:r>
      <w:r w:rsidRPr="00DB640B">
        <w:rPr>
          <w:rFonts w:ascii="Calibri" w:hAnsi="Calibri" w:cs="Calibri"/>
          <w:b/>
          <w:bCs/>
          <w:u w:val="single"/>
        </w:rPr>
        <w:t>esclavage</w:t>
      </w:r>
      <w:r w:rsidRPr="00DB640B">
        <w:rPr>
          <w:rFonts w:ascii="Calibri" w:hAnsi="Calibri" w:cs="Calibri"/>
        </w:rPr>
        <w:t>, l’individu est un objet de droit (comme un bien meuble) sur lequel une personne exerce les attributs du droit de propriété.</w:t>
      </w:r>
    </w:p>
    <w:p w14:paraId="2E256DC7" w14:textId="77777777" w:rsidR="00DB640B" w:rsidRPr="00DB640B" w:rsidRDefault="00DB640B" w:rsidP="00DB640B">
      <w:pPr>
        <w:rPr>
          <w:rFonts w:ascii="Calibri" w:hAnsi="Calibri" w:cs="Calibri"/>
        </w:rPr>
      </w:pPr>
    </w:p>
    <w:p w14:paraId="6CF12A01" w14:textId="77777777" w:rsidR="00DB640B" w:rsidRPr="00DB640B" w:rsidRDefault="00DB640B" w:rsidP="00DB640B">
      <w:pPr>
        <w:numPr>
          <w:ilvl w:val="0"/>
          <w:numId w:val="5"/>
        </w:numPr>
        <w:contextualSpacing/>
        <w:rPr>
          <w:rFonts w:ascii="Calibri" w:hAnsi="Calibri" w:cs="Calibri"/>
        </w:rPr>
      </w:pPr>
      <w:r w:rsidRPr="00DB640B">
        <w:rPr>
          <w:rFonts w:ascii="Calibri" w:hAnsi="Calibri" w:cs="Calibri"/>
        </w:rPr>
        <w:t xml:space="preserve">Dans la </w:t>
      </w:r>
      <w:r w:rsidRPr="00DB640B">
        <w:rPr>
          <w:rFonts w:ascii="Calibri" w:hAnsi="Calibri" w:cs="Calibri"/>
          <w:b/>
          <w:bCs/>
          <w:u w:val="single"/>
        </w:rPr>
        <w:t>servitude</w:t>
      </w:r>
      <w:r w:rsidRPr="00DB640B">
        <w:rPr>
          <w:rFonts w:ascii="Calibri" w:hAnsi="Calibri" w:cs="Calibri"/>
        </w:rPr>
        <w:t xml:space="preserve">, l’individu reste un sujet de droit mais il est réduit en dépendance à l’égard d’autrui. Il prête ses services à autrui sous l’empire de la contrainte. </w:t>
      </w:r>
    </w:p>
    <w:p w14:paraId="7AE569D6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4E1A3226" w14:textId="77777777" w:rsidR="00DB640B" w:rsidRPr="00DB640B" w:rsidRDefault="00DB640B" w:rsidP="00DB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outlineLvl w:val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DB640B">
        <w:rPr>
          <w:rFonts w:ascii="Calibri" w:hAnsi="Calibri" w:cs="Calibri"/>
          <w:b/>
          <w:bCs/>
          <w:sz w:val="20"/>
          <w:szCs w:val="20"/>
          <w:u w:val="single"/>
        </w:rPr>
        <w:t xml:space="preserve">Jurisprudence utile </w:t>
      </w:r>
    </w:p>
    <w:p w14:paraId="5E02BBF0" w14:textId="77777777" w:rsidR="00DB640B" w:rsidRPr="00DB640B" w:rsidRDefault="00DB640B" w:rsidP="00DB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outlineLvl w:val="0"/>
        <w:rPr>
          <w:rFonts w:ascii="Calibri" w:hAnsi="Calibri" w:cs="Calibri"/>
          <w:sz w:val="20"/>
          <w:szCs w:val="20"/>
        </w:rPr>
      </w:pPr>
    </w:p>
    <w:p w14:paraId="29F0C1C0" w14:textId="77777777" w:rsidR="00DB640B" w:rsidRPr="00DB640B" w:rsidRDefault="00DB640B" w:rsidP="00DB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outlineLvl w:val="0"/>
        <w:rPr>
          <w:rFonts w:ascii="Calibri" w:hAnsi="Calibri" w:cs="Calibri"/>
          <w:sz w:val="20"/>
          <w:szCs w:val="20"/>
        </w:rPr>
      </w:pPr>
      <w:r w:rsidRPr="00DB640B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CEDH 26 juil. 2005 </w:t>
      </w:r>
      <w:proofErr w:type="spellStart"/>
      <w:r w:rsidRPr="00DB640B">
        <w:rPr>
          <w:rFonts w:ascii="Calibri" w:hAnsi="Calibri" w:cs="Calibri"/>
          <w:b/>
          <w:bCs/>
          <w:sz w:val="20"/>
          <w:szCs w:val="20"/>
          <w:highlight w:val="lightGray"/>
        </w:rPr>
        <w:t>Siliadin</w:t>
      </w:r>
      <w:proofErr w:type="spellEnd"/>
      <w:r w:rsidRPr="00DB640B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 c/France</w:t>
      </w:r>
      <w:r w:rsidRPr="00DB640B">
        <w:rPr>
          <w:rFonts w:ascii="Calibri" w:hAnsi="Calibri" w:cs="Calibri"/>
          <w:sz w:val="20"/>
          <w:szCs w:val="20"/>
        </w:rPr>
        <w:t xml:space="preserve"> : en l’espèce, une jeune fille togolaise servait une famille qui l’hébergeait. En réalité, elle était la domestique non rémunérée de la famille. La Cour considère que Madame </w:t>
      </w:r>
      <w:proofErr w:type="spellStart"/>
      <w:r w:rsidRPr="00DB640B">
        <w:rPr>
          <w:rFonts w:ascii="Calibri" w:hAnsi="Calibri" w:cs="Calibri"/>
          <w:sz w:val="20"/>
          <w:szCs w:val="20"/>
        </w:rPr>
        <w:t>Siliadin</w:t>
      </w:r>
      <w:proofErr w:type="spellEnd"/>
      <w:r w:rsidRPr="00DB640B">
        <w:rPr>
          <w:rFonts w:ascii="Calibri" w:hAnsi="Calibri" w:cs="Calibri"/>
          <w:sz w:val="20"/>
          <w:szCs w:val="20"/>
        </w:rPr>
        <w:t xml:space="preserve"> a été tenue en état de servitude au sens de l’article 4 de la </w:t>
      </w:r>
      <w:proofErr w:type="spellStart"/>
      <w:r w:rsidRPr="00DB640B">
        <w:rPr>
          <w:rFonts w:ascii="Calibri" w:hAnsi="Calibri" w:cs="Calibri"/>
          <w:sz w:val="20"/>
          <w:szCs w:val="20"/>
        </w:rPr>
        <w:t>Conv</w:t>
      </w:r>
      <w:proofErr w:type="spellEnd"/>
      <w:r w:rsidRPr="00DB640B">
        <w:rPr>
          <w:rFonts w:ascii="Calibri" w:hAnsi="Calibri" w:cs="Calibri"/>
          <w:sz w:val="20"/>
          <w:szCs w:val="20"/>
        </w:rPr>
        <w:t xml:space="preserve">. EDH. La Cour estime qu’il n’y a pas d’esclavage car les attributs du droit de propriété ne sont pas exercés.  </w:t>
      </w:r>
    </w:p>
    <w:p w14:paraId="1445BB3E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522D00DB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2386A867" w14:textId="77777777" w:rsidR="00DB640B" w:rsidRPr="00DB640B" w:rsidRDefault="00DB640B" w:rsidP="00DB640B">
      <w:pPr>
        <w:numPr>
          <w:ilvl w:val="0"/>
          <w:numId w:val="1"/>
        </w:numPr>
        <w:contextualSpacing/>
        <w:rPr>
          <w:rFonts w:ascii="Calibri" w:hAnsi="Calibri" w:cs="Calibri"/>
          <w:b/>
          <w:bCs/>
          <w:color w:val="E97132" w:themeColor="accent2"/>
          <w:u w:val="single"/>
        </w:rPr>
      </w:pPr>
      <w:r w:rsidRPr="00DB640B">
        <w:rPr>
          <w:rFonts w:ascii="Calibri" w:hAnsi="Calibri" w:cs="Calibri"/>
          <w:b/>
          <w:bCs/>
          <w:color w:val="E97132" w:themeColor="accent2"/>
          <w:u w:val="single"/>
        </w:rPr>
        <w:lastRenderedPageBreak/>
        <w:t>La protection contre l’esclavage et la servitude</w:t>
      </w:r>
    </w:p>
    <w:p w14:paraId="7FF73EE5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4B34E255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  <w:r w:rsidRPr="00DB640B">
        <w:rPr>
          <w:rFonts w:ascii="Calibri" w:hAnsi="Calibri" w:cs="Calibri"/>
        </w:rPr>
        <w:t>L’interdiction de l’esclavage est protégée par plusieurs instruments :</w:t>
      </w:r>
    </w:p>
    <w:p w14:paraId="46DBBC8E" w14:textId="77777777" w:rsidR="00DB640B" w:rsidRPr="00DB640B" w:rsidRDefault="00DB640B" w:rsidP="00DB640B">
      <w:pPr>
        <w:numPr>
          <w:ilvl w:val="0"/>
          <w:numId w:val="4"/>
        </w:numPr>
        <w:contextualSpacing/>
        <w:rPr>
          <w:rFonts w:ascii="Calibri" w:hAnsi="Calibri" w:cs="Calibri"/>
          <w:b/>
          <w:bCs/>
          <w:highlight w:val="yellow"/>
        </w:rPr>
      </w:pPr>
      <w:r w:rsidRPr="00DB640B">
        <w:rPr>
          <w:rFonts w:ascii="Calibri" w:hAnsi="Calibri" w:cs="Calibri"/>
          <w:b/>
          <w:bCs/>
          <w:highlight w:val="yellow"/>
        </w:rPr>
        <w:t>Convention de Genève relative à l’abolition de l’esclavage (1956) – Société des Nations ; complétée par une Convention de l’ONU</w:t>
      </w:r>
    </w:p>
    <w:p w14:paraId="76DD8014" w14:textId="77777777" w:rsidR="00DB640B" w:rsidRPr="00DB640B" w:rsidRDefault="00DB640B" w:rsidP="00DB640B">
      <w:pPr>
        <w:numPr>
          <w:ilvl w:val="0"/>
          <w:numId w:val="4"/>
        </w:numPr>
        <w:contextualSpacing/>
        <w:rPr>
          <w:rFonts w:ascii="Calibri" w:hAnsi="Calibri" w:cs="Calibri"/>
          <w:b/>
          <w:bCs/>
          <w:highlight w:val="yellow"/>
        </w:rPr>
      </w:pPr>
      <w:r w:rsidRPr="00DB640B">
        <w:rPr>
          <w:rFonts w:ascii="Calibri" w:hAnsi="Calibri" w:cs="Calibri"/>
          <w:b/>
          <w:bCs/>
          <w:highlight w:val="yellow"/>
        </w:rPr>
        <w:t>Statut de Rome portant création de la Cour pénale internationale (1998)</w:t>
      </w:r>
    </w:p>
    <w:p w14:paraId="2A878012" w14:textId="77777777" w:rsidR="00DB640B" w:rsidRPr="00DB640B" w:rsidRDefault="00DB640B" w:rsidP="00DB640B">
      <w:pPr>
        <w:numPr>
          <w:ilvl w:val="0"/>
          <w:numId w:val="4"/>
        </w:numPr>
        <w:contextualSpacing/>
        <w:rPr>
          <w:rFonts w:ascii="Calibri" w:hAnsi="Calibri" w:cs="Calibri"/>
          <w:b/>
          <w:bCs/>
          <w:highlight w:val="yellow"/>
        </w:rPr>
      </w:pPr>
      <w:r w:rsidRPr="00DB640B">
        <w:rPr>
          <w:rFonts w:ascii="Calibri" w:hAnsi="Calibri" w:cs="Calibri"/>
          <w:b/>
          <w:bCs/>
          <w:highlight w:val="yellow"/>
        </w:rPr>
        <w:t xml:space="preserve">Article 4 de la </w:t>
      </w:r>
      <w:proofErr w:type="spellStart"/>
      <w:r w:rsidRPr="00DB640B">
        <w:rPr>
          <w:rFonts w:ascii="Calibri" w:hAnsi="Calibri" w:cs="Calibri"/>
          <w:b/>
          <w:bCs/>
          <w:highlight w:val="yellow"/>
        </w:rPr>
        <w:t>Conv</w:t>
      </w:r>
      <w:proofErr w:type="spellEnd"/>
      <w:r w:rsidRPr="00DB640B">
        <w:rPr>
          <w:rFonts w:ascii="Calibri" w:hAnsi="Calibri" w:cs="Calibri"/>
          <w:b/>
          <w:bCs/>
          <w:highlight w:val="yellow"/>
        </w:rPr>
        <w:t>. EDH</w:t>
      </w:r>
    </w:p>
    <w:p w14:paraId="2B48EF4F" w14:textId="77777777" w:rsidR="00DB640B" w:rsidRPr="00DB640B" w:rsidRDefault="00DB640B" w:rsidP="00DB640B">
      <w:pPr>
        <w:ind w:firstLine="0"/>
        <w:rPr>
          <w:rFonts w:ascii="Calibri" w:hAnsi="Calibri" w:cs="Calibri"/>
          <w:b/>
          <w:bCs/>
          <w:highlight w:val="yellow"/>
        </w:rPr>
      </w:pPr>
    </w:p>
    <w:p w14:paraId="28116917" w14:textId="77777777" w:rsidR="00DB640B" w:rsidRPr="00DB640B" w:rsidRDefault="00DB640B" w:rsidP="00DB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outlineLvl w:val="0"/>
        <w:rPr>
          <w:rFonts w:ascii="Calibri" w:hAnsi="Calibri" w:cs="Calibri"/>
          <w:sz w:val="20"/>
          <w:szCs w:val="20"/>
          <w:highlight w:val="yellow"/>
        </w:rPr>
      </w:pPr>
      <w:r w:rsidRPr="00DB640B">
        <w:rPr>
          <w:rFonts w:ascii="Calibri" w:hAnsi="Calibri" w:cs="Calibri"/>
          <w:b/>
          <w:bCs/>
          <w:sz w:val="20"/>
          <w:szCs w:val="20"/>
          <w:highlight w:val="yellow"/>
        </w:rPr>
        <w:t xml:space="preserve">Art. 4 </w:t>
      </w:r>
      <w:proofErr w:type="spellStart"/>
      <w:r w:rsidRPr="00DB640B">
        <w:rPr>
          <w:rFonts w:ascii="Calibri" w:hAnsi="Calibri" w:cs="Calibri"/>
          <w:b/>
          <w:bCs/>
          <w:sz w:val="20"/>
          <w:szCs w:val="20"/>
          <w:highlight w:val="yellow"/>
        </w:rPr>
        <w:t>Conv</w:t>
      </w:r>
      <w:proofErr w:type="spellEnd"/>
      <w:r w:rsidRPr="00DB640B">
        <w:rPr>
          <w:rFonts w:ascii="Calibri" w:hAnsi="Calibri" w:cs="Calibri"/>
          <w:b/>
          <w:bCs/>
          <w:sz w:val="20"/>
          <w:szCs w:val="20"/>
          <w:highlight w:val="yellow"/>
        </w:rPr>
        <w:t>. EDH</w:t>
      </w:r>
      <w:r w:rsidRPr="00DB640B">
        <w:rPr>
          <w:rFonts w:ascii="Calibri" w:hAnsi="Calibri" w:cs="Calibri"/>
          <w:sz w:val="20"/>
          <w:szCs w:val="20"/>
          <w:highlight w:val="yellow"/>
        </w:rPr>
        <w:t> </w:t>
      </w:r>
      <w:r w:rsidRPr="00DB640B">
        <w:rPr>
          <w:rFonts w:ascii="Calibri" w:hAnsi="Calibri" w:cs="Calibri"/>
          <w:sz w:val="20"/>
          <w:szCs w:val="20"/>
        </w:rPr>
        <w:t xml:space="preserve">: </w:t>
      </w:r>
      <w:r w:rsidRPr="00DB640B">
        <w:rPr>
          <w:rFonts w:ascii="Calibri" w:hAnsi="Calibri" w:cs="Calibri"/>
          <w:i/>
          <w:iCs/>
          <w:sz w:val="20"/>
          <w:szCs w:val="20"/>
        </w:rPr>
        <w:t xml:space="preserve">« Nul ne peut </w:t>
      </w:r>
      <w:proofErr w:type="spellStart"/>
      <w:r w:rsidRPr="00DB640B">
        <w:rPr>
          <w:rFonts w:ascii="Calibri" w:hAnsi="Calibri" w:cs="Calibri"/>
          <w:i/>
          <w:iCs/>
          <w:sz w:val="20"/>
          <w:szCs w:val="20"/>
        </w:rPr>
        <w:t>être</w:t>
      </w:r>
      <w:proofErr w:type="spellEnd"/>
      <w:r w:rsidRPr="00DB640B">
        <w:rPr>
          <w:rFonts w:ascii="Calibri" w:hAnsi="Calibri" w:cs="Calibri"/>
          <w:i/>
          <w:iCs/>
          <w:sz w:val="20"/>
          <w:szCs w:val="20"/>
        </w:rPr>
        <w:t xml:space="preserve"> tenu en esclavage ni en servitude. »</w:t>
      </w:r>
    </w:p>
    <w:p w14:paraId="3EF96475" w14:textId="77777777" w:rsidR="00DB640B" w:rsidRPr="00DB640B" w:rsidRDefault="00DB640B" w:rsidP="00DB640B">
      <w:pPr>
        <w:ind w:firstLine="0"/>
        <w:rPr>
          <w:rFonts w:ascii="Calibri" w:hAnsi="Calibri" w:cs="Calibri"/>
          <w:b/>
          <w:bCs/>
          <w:highlight w:val="yellow"/>
        </w:rPr>
      </w:pPr>
    </w:p>
    <w:p w14:paraId="008FB2D3" w14:textId="77777777" w:rsidR="00DB640B" w:rsidRPr="00DB640B" w:rsidRDefault="00DB640B" w:rsidP="00DB640B">
      <w:pPr>
        <w:numPr>
          <w:ilvl w:val="0"/>
          <w:numId w:val="4"/>
        </w:numPr>
        <w:contextualSpacing/>
        <w:rPr>
          <w:rFonts w:ascii="Calibri" w:hAnsi="Calibri" w:cs="Calibri"/>
          <w:b/>
          <w:bCs/>
          <w:highlight w:val="yellow"/>
        </w:rPr>
      </w:pPr>
      <w:r w:rsidRPr="00DB640B">
        <w:rPr>
          <w:rFonts w:ascii="Calibri" w:hAnsi="Calibri" w:cs="Calibri"/>
          <w:b/>
          <w:bCs/>
          <w:highlight w:val="yellow"/>
        </w:rPr>
        <w:t>Article 5 CDFUE</w:t>
      </w:r>
    </w:p>
    <w:p w14:paraId="23CC05B9" w14:textId="77777777" w:rsidR="00DB640B" w:rsidRPr="00DB640B" w:rsidRDefault="00DB640B" w:rsidP="00DB640B">
      <w:pPr>
        <w:numPr>
          <w:ilvl w:val="0"/>
          <w:numId w:val="4"/>
        </w:numPr>
        <w:contextualSpacing/>
        <w:rPr>
          <w:rFonts w:ascii="Calibri" w:hAnsi="Calibri" w:cs="Calibri"/>
          <w:b/>
          <w:bCs/>
          <w:highlight w:val="yellow"/>
        </w:rPr>
      </w:pPr>
      <w:r w:rsidRPr="00DB640B">
        <w:rPr>
          <w:rFonts w:ascii="Calibri" w:hAnsi="Calibri" w:cs="Calibri"/>
          <w:b/>
          <w:bCs/>
          <w:highlight w:val="yellow"/>
        </w:rPr>
        <w:t xml:space="preserve">Article 4 de la DUDH </w:t>
      </w:r>
    </w:p>
    <w:p w14:paraId="65043F1B" w14:textId="77777777" w:rsidR="00DB640B" w:rsidRPr="00DB640B" w:rsidRDefault="00DB640B" w:rsidP="00DB640B">
      <w:pPr>
        <w:numPr>
          <w:ilvl w:val="0"/>
          <w:numId w:val="4"/>
        </w:numPr>
        <w:contextualSpacing/>
        <w:rPr>
          <w:rFonts w:ascii="Calibri" w:hAnsi="Calibri" w:cs="Calibri"/>
          <w:highlight w:val="yellow"/>
        </w:rPr>
      </w:pPr>
      <w:r w:rsidRPr="00DB640B">
        <w:rPr>
          <w:rFonts w:ascii="Calibri" w:hAnsi="Calibri" w:cs="Calibri"/>
          <w:b/>
          <w:bCs/>
          <w:highlight w:val="yellow"/>
        </w:rPr>
        <w:t xml:space="preserve">Art. 224-1 A. C. </w:t>
      </w:r>
      <w:proofErr w:type="spellStart"/>
      <w:r w:rsidRPr="00DB640B">
        <w:rPr>
          <w:rFonts w:ascii="Calibri" w:hAnsi="Calibri" w:cs="Calibri"/>
          <w:b/>
          <w:bCs/>
          <w:highlight w:val="yellow"/>
        </w:rPr>
        <w:t>pén</w:t>
      </w:r>
      <w:proofErr w:type="spellEnd"/>
      <w:r w:rsidRPr="00DB640B">
        <w:rPr>
          <w:rFonts w:ascii="Calibri" w:hAnsi="Calibri" w:cs="Calibri"/>
          <w:b/>
          <w:bCs/>
          <w:highlight w:val="yellow"/>
        </w:rPr>
        <w:t>.</w:t>
      </w:r>
      <w:r w:rsidRPr="00DB640B">
        <w:rPr>
          <w:rFonts w:ascii="Calibri" w:hAnsi="Calibri" w:cs="Calibri"/>
        </w:rPr>
        <w:t xml:space="preserve"> (</w:t>
      </w:r>
      <w:r w:rsidRPr="00DB640B">
        <w:rPr>
          <w:rFonts w:ascii="Calibri" w:hAnsi="Calibri" w:cs="Calibri"/>
          <w:b/>
          <w:bCs/>
        </w:rPr>
        <w:t>réduction en esclavage</w:t>
      </w:r>
      <w:r w:rsidRPr="00DB640B">
        <w:rPr>
          <w:rFonts w:ascii="Calibri" w:hAnsi="Calibri" w:cs="Calibri"/>
        </w:rPr>
        <w:t xml:space="preserve">) et </w:t>
      </w:r>
      <w:r w:rsidRPr="00DB640B">
        <w:rPr>
          <w:rFonts w:ascii="Calibri" w:hAnsi="Calibri" w:cs="Calibri"/>
          <w:b/>
          <w:bCs/>
          <w:highlight w:val="yellow"/>
        </w:rPr>
        <w:t xml:space="preserve">art. 224-1 B C. </w:t>
      </w:r>
      <w:proofErr w:type="spellStart"/>
      <w:r w:rsidRPr="00DB640B">
        <w:rPr>
          <w:rFonts w:ascii="Calibri" w:hAnsi="Calibri" w:cs="Calibri"/>
          <w:b/>
          <w:bCs/>
          <w:highlight w:val="yellow"/>
        </w:rPr>
        <w:t>pén</w:t>
      </w:r>
      <w:proofErr w:type="spellEnd"/>
      <w:r w:rsidRPr="00DB640B">
        <w:rPr>
          <w:rFonts w:ascii="Calibri" w:hAnsi="Calibri" w:cs="Calibri"/>
          <w:b/>
          <w:bCs/>
          <w:highlight w:val="yellow"/>
        </w:rPr>
        <w:t>.</w:t>
      </w:r>
      <w:r w:rsidRPr="00DB640B">
        <w:rPr>
          <w:rFonts w:ascii="Calibri" w:hAnsi="Calibri" w:cs="Calibri"/>
        </w:rPr>
        <w:t xml:space="preserve"> (</w:t>
      </w:r>
      <w:r w:rsidRPr="00DB640B">
        <w:rPr>
          <w:rFonts w:ascii="Calibri" w:hAnsi="Calibri" w:cs="Calibri"/>
          <w:b/>
          <w:bCs/>
        </w:rPr>
        <w:t>exploitation économique ou sexuelle d’une personne réduite en esclavage</w:t>
      </w:r>
      <w:r w:rsidRPr="00DB640B">
        <w:rPr>
          <w:rFonts w:ascii="Calibri" w:hAnsi="Calibri" w:cs="Calibri"/>
        </w:rPr>
        <w:t>)</w:t>
      </w:r>
    </w:p>
    <w:p w14:paraId="6EF5DD4A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69374662" w14:textId="77777777" w:rsidR="00DB640B" w:rsidRPr="00DB640B" w:rsidRDefault="00DB640B" w:rsidP="00DB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outlineLvl w:val="0"/>
        <w:rPr>
          <w:rFonts w:ascii="Calibri" w:hAnsi="Calibri" w:cs="Calibri"/>
          <w:i/>
          <w:iCs/>
          <w:sz w:val="20"/>
          <w:szCs w:val="20"/>
        </w:rPr>
      </w:pPr>
      <w:r w:rsidRPr="00DB640B">
        <w:rPr>
          <w:rFonts w:ascii="Calibri" w:hAnsi="Calibri" w:cs="Calibri"/>
          <w:b/>
          <w:bCs/>
          <w:sz w:val="20"/>
          <w:szCs w:val="20"/>
          <w:highlight w:val="yellow"/>
        </w:rPr>
        <w:t xml:space="preserve">Art. 224-1 A C. </w:t>
      </w:r>
      <w:proofErr w:type="spellStart"/>
      <w:r w:rsidRPr="00DB640B">
        <w:rPr>
          <w:rFonts w:ascii="Calibri" w:hAnsi="Calibri" w:cs="Calibri"/>
          <w:b/>
          <w:bCs/>
          <w:sz w:val="20"/>
          <w:szCs w:val="20"/>
          <w:highlight w:val="yellow"/>
        </w:rPr>
        <w:t>pén</w:t>
      </w:r>
      <w:proofErr w:type="spellEnd"/>
      <w:r w:rsidRPr="00DB640B">
        <w:rPr>
          <w:rFonts w:ascii="Calibri" w:hAnsi="Calibri" w:cs="Calibri"/>
          <w:b/>
          <w:bCs/>
          <w:sz w:val="20"/>
          <w:szCs w:val="20"/>
          <w:highlight w:val="yellow"/>
        </w:rPr>
        <w:t>.</w:t>
      </w:r>
      <w:r w:rsidRPr="00DB640B">
        <w:rPr>
          <w:rFonts w:ascii="Calibri" w:hAnsi="Calibri" w:cs="Calibri"/>
          <w:sz w:val="20"/>
          <w:szCs w:val="20"/>
        </w:rPr>
        <w:t xml:space="preserve"> : </w:t>
      </w:r>
      <w:r w:rsidRPr="00DB640B">
        <w:rPr>
          <w:rFonts w:ascii="Calibri" w:hAnsi="Calibri" w:cs="Calibri"/>
          <w:i/>
          <w:iCs/>
          <w:sz w:val="20"/>
          <w:szCs w:val="20"/>
        </w:rPr>
        <w:t>« La réduction en esclavage est le fait d'exercer à l'encontre d'une personne l'un des attributs du droit de propriété. »</w:t>
      </w:r>
    </w:p>
    <w:p w14:paraId="08940A07" w14:textId="77777777" w:rsidR="00DB640B" w:rsidRPr="00DB640B" w:rsidRDefault="00DB640B" w:rsidP="00DB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outlineLvl w:val="0"/>
        <w:rPr>
          <w:rFonts w:ascii="Calibri" w:hAnsi="Calibri" w:cs="Calibri"/>
          <w:i/>
          <w:iCs/>
          <w:sz w:val="20"/>
          <w:szCs w:val="20"/>
        </w:rPr>
      </w:pPr>
    </w:p>
    <w:p w14:paraId="32515BA7" w14:textId="77777777" w:rsidR="00DB640B" w:rsidRPr="00DB640B" w:rsidRDefault="00DB640B" w:rsidP="00DB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outlineLvl w:val="0"/>
        <w:rPr>
          <w:rFonts w:ascii="Calibri" w:hAnsi="Calibri" w:cs="Calibri"/>
          <w:sz w:val="20"/>
          <w:szCs w:val="20"/>
        </w:rPr>
      </w:pPr>
      <w:r w:rsidRPr="00DB640B">
        <w:rPr>
          <w:rFonts w:ascii="Calibri" w:hAnsi="Calibri" w:cs="Calibri"/>
          <w:b/>
          <w:bCs/>
          <w:sz w:val="20"/>
          <w:szCs w:val="20"/>
          <w:highlight w:val="yellow"/>
        </w:rPr>
        <w:t xml:space="preserve">Art. 224-1 B C. </w:t>
      </w:r>
      <w:proofErr w:type="spellStart"/>
      <w:r w:rsidRPr="00DB640B">
        <w:rPr>
          <w:rFonts w:ascii="Calibri" w:hAnsi="Calibri" w:cs="Calibri"/>
          <w:b/>
          <w:bCs/>
          <w:sz w:val="20"/>
          <w:szCs w:val="20"/>
          <w:highlight w:val="yellow"/>
        </w:rPr>
        <w:t>pén</w:t>
      </w:r>
      <w:proofErr w:type="spellEnd"/>
      <w:r w:rsidRPr="00DB640B">
        <w:rPr>
          <w:rFonts w:ascii="Calibri" w:hAnsi="Calibri" w:cs="Calibri"/>
          <w:b/>
          <w:bCs/>
          <w:sz w:val="20"/>
          <w:szCs w:val="20"/>
          <w:highlight w:val="yellow"/>
        </w:rPr>
        <w:t>.</w:t>
      </w:r>
      <w:r w:rsidRPr="00DB640B">
        <w:rPr>
          <w:rFonts w:ascii="Calibri" w:hAnsi="Calibri" w:cs="Calibri"/>
          <w:sz w:val="20"/>
          <w:szCs w:val="20"/>
        </w:rPr>
        <w:t xml:space="preserve"> : </w:t>
      </w:r>
      <w:r w:rsidRPr="00DB640B">
        <w:rPr>
          <w:rFonts w:ascii="Calibri" w:hAnsi="Calibri" w:cs="Calibri"/>
          <w:i/>
          <w:iCs/>
          <w:sz w:val="20"/>
          <w:szCs w:val="20"/>
        </w:rPr>
        <w:t>« L'exploitation d'une personne réduite en esclavage est le fait de commettre à l'encontre d'une personne dont la réduction en esclavage est apparente ou connue de l'auteur une agression sexuelle, de la séquestrer ou de la soumettre à du travail forcé ou du service forcé. »</w:t>
      </w:r>
    </w:p>
    <w:p w14:paraId="7635D67A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0A720B19" w14:textId="77777777" w:rsidR="00DB640B" w:rsidRPr="00DB640B" w:rsidRDefault="00DB640B" w:rsidP="00DB640B">
      <w:pPr>
        <w:numPr>
          <w:ilvl w:val="0"/>
          <w:numId w:val="6"/>
        </w:numPr>
        <w:contextualSpacing/>
        <w:rPr>
          <w:rFonts w:ascii="Calibri" w:hAnsi="Calibri" w:cs="Calibri"/>
        </w:rPr>
      </w:pPr>
      <w:r w:rsidRPr="00DB640B">
        <w:rPr>
          <w:rFonts w:ascii="Calibri" w:hAnsi="Calibri" w:cs="Calibri"/>
          <w:b/>
          <w:bCs/>
          <w:highlight w:val="yellow"/>
        </w:rPr>
        <w:t xml:space="preserve">Art. 225-4-1 C. </w:t>
      </w:r>
      <w:proofErr w:type="spellStart"/>
      <w:r w:rsidRPr="00DB640B">
        <w:rPr>
          <w:rFonts w:ascii="Calibri" w:hAnsi="Calibri" w:cs="Calibri"/>
          <w:b/>
          <w:bCs/>
          <w:highlight w:val="yellow"/>
        </w:rPr>
        <w:t>pén</w:t>
      </w:r>
      <w:proofErr w:type="spellEnd"/>
      <w:r w:rsidRPr="00DB640B">
        <w:rPr>
          <w:rFonts w:ascii="Calibri" w:hAnsi="Calibri" w:cs="Calibri"/>
          <w:b/>
          <w:bCs/>
          <w:highlight w:val="yellow"/>
        </w:rPr>
        <w:t>.</w:t>
      </w:r>
      <w:r w:rsidRPr="00DB640B">
        <w:rPr>
          <w:rFonts w:ascii="Calibri" w:hAnsi="Calibri" w:cs="Calibri"/>
        </w:rPr>
        <w:t xml:space="preserve"> (</w:t>
      </w:r>
      <w:r w:rsidRPr="00DB640B">
        <w:rPr>
          <w:rFonts w:ascii="Calibri" w:hAnsi="Calibri" w:cs="Calibri"/>
          <w:b/>
          <w:bCs/>
        </w:rPr>
        <w:t>traite des êtres humains</w:t>
      </w:r>
      <w:r w:rsidRPr="00DB640B">
        <w:rPr>
          <w:rFonts w:ascii="Calibri" w:hAnsi="Calibri" w:cs="Calibri"/>
        </w:rPr>
        <w:t>)</w:t>
      </w:r>
    </w:p>
    <w:p w14:paraId="54206C76" w14:textId="77777777" w:rsidR="00DB640B" w:rsidRPr="00DB640B" w:rsidRDefault="00DB640B" w:rsidP="00DB640B">
      <w:pPr>
        <w:rPr>
          <w:rFonts w:ascii="Calibri" w:hAnsi="Calibri" w:cs="Calibri"/>
        </w:rPr>
      </w:pPr>
    </w:p>
    <w:p w14:paraId="7AEDD569" w14:textId="77777777" w:rsidR="00DB640B" w:rsidRPr="00DB640B" w:rsidRDefault="00DB640B" w:rsidP="00DB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outlineLvl w:val="0"/>
        <w:rPr>
          <w:rFonts w:ascii="Calibri" w:hAnsi="Calibri" w:cs="Calibri"/>
          <w:i/>
          <w:iCs/>
          <w:sz w:val="20"/>
          <w:szCs w:val="20"/>
        </w:rPr>
      </w:pPr>
      <w:r w:rsidRPr="00DB640B">
        <w:rPr>
          <w:rFonts w:ascii="Calibri" w:hAnsi="Calibri" w:cs="Calibri"/>
          <w:b/>
          <w:bCs/>
          <w:sz w:val="20"/>
          <w:szCs w:val="20"/>
          <w:highlight w:val="yellow"/>
        </w:rPr>
        <w:t xml:space="preserve">Art. 225-4-1 C. </w:t>
      </w:r>
      <w:proofErr w:type="spellStart"/>
      <w:r w:rsidRPr="00DB640B">
        <w:rPr>
          <w:rFonts w:ascii="Calibri" w:hAnsi="Calibri" w:cs="Calibri"/>
          <w:b/>
          <w:bCs/>
          <w:sz w:val="20"/>
          <w:szCs w:val="20"/>
          <w:highlight w:val="yellow"/>
        </w:rPr>
        <w:t>pén</w:t>
      </w:r>
      <w:proofErr w:type="spellEnd"/>
      <w:r w:rsidRPr="00DB640B">
        <w:rPr>
          <w:rFonts w:ascii="Calibri" w:hAnsi="Calibri" w:cs="Calibri"/>
          <w:b/>
          <w:bCs/>
          <w:sz w:val="20"/>
          <w:szCs w:val="20"/>
          <w:highlight w:val="yellow"/>
        </w:rPr>
        <w:t>.</w:t>
      </w:r>
      <w:r w:rsidRPr="00DB640B">
        <w:rPr>
          <w:rFonts w:ascii="Calibri" w:hAnsi="Calibri" w:cs="Calibri"/>
          <w:sz w:val="20"/>
          <w:szCs w:val="20"/>
        </w:rPr>
        <w:t xml:space="preserve"> – </w:t>
      </w:r>
      <w:r w:rsidRPr="00DB640B">
        <w:rPr>
          <w:rFonts w:ascii="Calibri" w:hAnsi="Calibri" w:cs="Calibri"/>
          <w:i/>
          <w:iCs/>
          <w:sz w:val="20"/>
          <w:szCs w:val="20"/>
        </w:rPr>
        <w:t>« La traite des êtres humains est le fait de recruter une personne, de la transporter, de la transférer, de l'héberger ou de l'accueillir à des fins d'exploitation dans l'une des circonstances suivantes :</w:t>
      </w:r>
    </w:p>
    <w:p w14:paraId="11212897" w14:textId="77777777" w:rsidR="00DB640B" w:rsidRPr="00DB640B" w:rsidRDefault="00DB640B" w:rsidP="00DB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outlineLvl w:val="0"/>
        <w:rPr>
          <w:rFonts w:ascii="Calibri" w:hAnsi="Calibri" w:cs="Calibri"/>
          <w:i/>
          <w:iCs/>
          <w:sz w:val="20"/>
          <w:szCs w:val="20"/>
        </w:rPr>
      </w:pPr>
      <w:r w:rsidRPr="00DB640B">
        <w:rPr>
          <w:rFonts w:ascii="Calibri" w:hAnsi="Calibri" w:cs="Calibri"/>
          <w:i/>
          <w:iCs/>
          <w:sz w:val="20"/>
          <w:szCs w:val="20"/>
        </w:rPr>
        <w:t>1° Soit avec l'emploi de menace, de contrainte, de violence ou de manœuvre dolosive visant la victime, sa famille ou une personne en relation habituelle avec la victime ;</w:t>
      </w:r>
    </w:p>
    <w:p w14:paraId="401EDDAE" w14:textId="77777777" w:rsidR="00DB640B" w:rsidRPr="00DB640B" w:rsidRDefault="00DB640B" w:rsidP="00DB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outlineLvl w:val="0"/>
        <w:rPr>
          <w:rFonts w:ascii="Calibri" w:hAnsi="Calibri" w:cs="Calibri"/>
          <w:i/>
          <w:iCs/>
          <w:sz w:val="20"/>
          <w:szCs w:val="20"/>
        </w:rPr>
      </w:pPr>
      <w:r w:rsidRPr="00DB640B">
        <w:rPr>
          <w:rFonts w:ascii="Calibri" w:hAnsi="Calibri" w:cs="Calibri"/>
          <w:i/>
          <w:iCs/>
          <w:sz w:val="20"/>
          <w:szCs w:val="20"/>
        </w:rPr>
        <w:t>2° Soit par un ascendant légitime, naturel ou adoptif de cette personne ou par une personne qui a autorité sur elle ou abuse de l'autorité que lui confèrent ses fonctions (…) »</w:t>
      </w:r>
    </w:p>
    <w:p w14:paraId="7B2B3838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4418BEA5" w14:textId="77777777" w:rsidR="00DB640B" w:rsidRPr="00DB640B" w:rsidRDefault="00DB640B" w:rsidP="00DB640B">
      <w:pPr>
        <w:ind w:firstLine="0"/>
        <w:jc w:val="left"/>
        <w:rPr>
          <w:rFonts w:ascii="Calibri" w:hAnsi="Calibri" w:cs="Calibri"/>
          <w:b/>
          <w:bCs/>
          <w:color w:val="0070C0"/>
          <w:kern w:val="0"/>
          <w:sz w:val="28"/>
          <w:szCs w:val="28"/>
          <w14:ligatures w14:val="none"/>
        </w:rPr>
      </w:pPr>
      <w:r w:rsidRPr="00DB640B">
        <w:rPr>
          <w:rFonts w:ascii="Calibri" w:hAnsi="Calibri" w:cs="Calibri"/>
          <w:b/>
          <w:bCs/>
          <w:color w:val="0070C0"/>
          <w:kern w:val="0"/>
          <w:sz w:val="28"/>
          <w:szCs w:val="28"/>
          <w14:ligatures w14:val="none"/>
        </w:rPr>
        <w:t>§2 : Le travail forcé</w:t>
      </w:r>
    </w:p>
    <w:p w14:paraId="045694FD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089E679C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  <w:r w:rsidRPr="00DB640B">
        <w:rPr>
          <w:rFonts w:ascii="Calibri" w:hAnsi="Calibri" w:cs="Calibri"/>
          <w:b/>
          <w:bCs/>
          <w:color w:val="C00000"/>
        </w:rPr>
        <w:t xml:space="preserve">Le </w:t>
      </w:r>
      <w:r w:rsidRPr="00DB640B">
        <w:rPr>
          <w:rFonts w:ascii="Calibri" w:hAnsi="Calibri" w:cs="Calibri"/>
          <w:b/>
          <w:bCs/>
          <w:color w:val="C00000"/>
          <w:u w:val="single"/>
        </w:rPr>
        <w:t>travail forcé</w:t>
      </w:r>
      <w:r w:rsidRPr="00DB640B">
        <w:rPr>
          <w:rFonts w:ascii="Calibri" w:hAnsi="Calibri" w:cs="Calibri"/>
          <w:b/>
          <w:bCs/>
          <w:color w:val="C00000"/>
        </w:rPr>
        <w:t xml:space="preserve"> correspond à tout travail ou service exigé d’un individu sous la menace d’une peine quelconque et pour lequel l’individu ne s’est pas offert de son plein gré </w:t>
      </w:r>
      <w:r w:rsidRPr="00DB640B">
        <w:rPr>
          <w:rFonts w:ascii="Calibri" w:hAnsi="Calibri" w:cs="Calibri"/>
        </w:rPr>
        <w:t xml:space="preserve">(définition donnée par la </w:t>
      </w:r>
      <w:r w:rsidRPr="00DB640B">
        <w:rPr>
          <w:rFonts w:ascii="Calibri" w:hAnsi="Calibri" w:cs="Calibri"/>
          <w:b/>
          <w:bCs/>
          <w:highlight w:val="yellow"/>
        </w:rPr>
        <w:t>Convention n°29 de l’OIT de 1930</w:t>
      </w:r>
      <w:r w:rsidRPr="00DB640B">
        <w:rPr>
          <w:rFonts w:ascii="Calibri" w:hAnsi="Calibri" w:cs="Calibri"/>
        </w:rPr>
        <w:t xml:space="preserve">). </w:t>
      </w:r>
    </w:p>
    <w:p w14:paraId="3FF979E7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60C66F87" w14:textId="77777777" w:rsidR="00DB640B" w:rsidRPr="00DB640B" w:rsidRDefault="00DB640B" w:rsidP="00DB640B">
      <w:pPr>
        <w:ind w:firstLine="0"/>
        <w:rPr>
          <w:rFonts w:ascii="Calibri" w:hAnsi="Calibri" w:cs="Calibri"/>
          <w:i/>
          <w:iCs/>
          <w:sz w:val="20"/>
          <w:szCs w:val="20"/>
        </w:rPr>
      </w:pPr>
      <w:r w:rsidRPr="00DB640B">
        <w:rPr>
          <w:rFonts w:ascii="Calibri" w:hAnsi="Calibri" w:cs="Calibri"/>
          <w:i/>
          <w:iCs/>
          <w:sz w:val="20"/>
          <w:szCs w:val="20"/>
        </w:rPr>
        <w:t>À noter : d’après l’</w:t>
      </w:r>
      <w:r w:rsidRPr="00DB640B">
        <w:rPr>
          <w:rFonts w:ascii="Calibri" w:hAnsi="Calibri" w:cs="Calibri"/>
          <w:b/>
          <w:bCs/>
          <w:i/>
          <w:iCs/>
          <w:sz w:val="20"/>
          <w:szCs w:val="20"/>
          <w:highlight w:val="yellow"/>
        </w:rPr>
        <w:t xml:space="preserve">article 4 de la </w:t>
      </w:r>
      <w:proofErr w:type="spellStart"/>
      <w:r w:rsidRPr="00DB640B">
        <w:rPr>
          <w:rFonts w:ascii="Calibri" w:hAnsi="Calibri" w:cs="Calibri"/>
          <w:b/>
          <w:bCs/>
          <w:i/>
          <w:iCs/>
          <w:sz w:val="20"/>
          <w:szCs w:val="20"/>
          <w:highlight w:val="yellow"/>
        </w:rPr>
        <w:t>Conv</w:t>
      </w:r>
      <w:proofErr w:type="spellEnd"/>
      <w:r w:rsidRPr="00DB640B">
        <w:rPr>
          <w:rFonts w:ascii="Calibri" w:hAnsi="Calibri" w:cs="Calibri"/>
          <w:b/>
          <w:bCs/>
          <w:i/>
          <w:iCs/>
          <w:sz w:val="20"/>
          <w:szCs w:val="20"/>
          <w:highlight w:val="yellow"/>
        </w:rPr>
        <w:t>. EDH</w:t>
      </w:r>
      <w:r w:rsidRPr="00DB640B">
        <w:rPr>
          <w:rFonts w:ascii="Calibri" w:hAnsi="Calibri" w:cs="Calibri"/>
          <w:i/>
          <w:iCs/>
          <w:sz w:val="20"/>
          <w:szCs w:val="20"/>
        </w:rPr>
        <w:t xml:space="preserve">, le travail demandé à un détenu ou le service militaire ne sont pas des travaux forcés. </w:t>
      </w:r>
    </w:p>
    <w:p w14:paraId="37B17B5D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2ED67926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  <w:r w:rsidRPr="00DB640B">
        <w:rPr>
          <w:rFonts w:ascii="Calibri" w:hAnsi="Calibri" w:cs="Calibri"/>
        </w:rPr>
        <w:t>Il apparaît donc que le travail forcé se rapproche de la servitude. Cependant, ces 2 notions doivent être distinguées :</w:t>
      </w:r>
    </w:p>
    <w:p w14:paraId="74F282E3" w14:textId="77777777" w:rsidR="00DB640B" w:rsidRPr="00DB640B" w:rsidRDefault="00DB640B" w:rsidP="00DB640B">
      <w:pPr>
        <w:numPr>
          <w:ilvl w:val="0"/>
          <w:numId w:val="6"/>
        </w:numPr>
        <w:contextualSpacing/>
        <w:rPr>
          <w:rFonts w:ascii="Calibri" w:hAnsi="Calibri" w:cs="Calibri"/>
        </w:rPr>
      </w:pPr>
      <w:r w:rsidRPr="00DB640B">
        <w:rPr>
          <w:rFonts w:ascii="Calibri" w:hAnsi="Calibri" w:cs="Calibri"/>
        </w:rPr>
        <w:t>Dans la servitude, les victimes ont le sentiment que leur condition ne va jamais changer.</w:t>
      </w:r>
    </w:p>
    <w:p w14:paraId="169447BC" w14:textId="77777777" w:rsidR="00DB640B" w:rsidRPr="00DB640B" w:rsidRDefault="00DB640B" w:rsidP="00DB640B">
      <w:pPr>
        <w:numPr>
          <w:ilvl w:val="0"/>
          <w:numId w:val="6"/>
        </w:numPr>
        <w:contextualSpacing/>
        <w:rPr>
          <w:rFonts w:ascii="Calibri" w:hAnsi="Calibri" w:cs="Calibri"/>
        </w:rPr>
      </w:pPr>
      <w:r w:rsidRPr="00DB640B">
        <w:rPr>
          <w:rFonts w:ascii="Calibri" w:hAnsi="Calibri" w:cs="Calibri"/>
        </w:rPr>
        <w:t>Dans le travail forcé, les victimes ont le sentiment que cela peut changer.</w:t>
      </w:r>
    </w:p>
    <w:p w14:paraId="5190C825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3A5B0CE8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520AF579" w14:textId="77777777" w:rsidR="00DB640B" w:rsidRPr="00DB640B" w:rsidRDefault="00DB640B" w:rsidP="00DB640B">
      <w:pPr>
        <w:ind w:firstLine="0"/>
        <w:rPr>
          <w:rFonts w:ascii="Calibri" w:hAnsi="Calibri" w:cs="Calibri"/>
        </w:rPr>
      </w:pPr>
    </w:p>
    <w:p w14:paraId="18A7D612" w14:textId="77777777" w:rsidR="005364ED" w:rsidRDefault="005364ED"/>
    <w:sectPr w:rsidR="0053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E3AF2"/>
    <w:multiLevelType w:val="hybridMultilevel"/>
    <w:tmpl w:val="28745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7207"/>
    <w:multiLevelType w:val="hybridMultilevel"/>
    <w:tmpl w:val="0D2821D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B60F6"/>
    <w:multiLevelType w:val="hybridMultilevel"/>
    <w:tmpl w:val="F0BE7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4649F"/>
    <w:multiLevelType w:val="hybridMultilevel"/>
    <w:tmpl w:val="F4EA7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90A43"/>
    <w:multiLevelType w:val="hybridMultilevel"/>
    <w:tmpl w:val="D0A02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75173"/>
    <w:multiLevelType w:val="hybridMultilevel"/>
    <w:tmpl w:val="EFB6DC4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73C69"/>
    <w:multiLevelType w:val="hybridMultilevel"/>
    <w:tmpl w:val="C23C1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75420">
    <w:abstractNumId w:val="5"/>
  </w:num>
  <w:num w:numId="2" w16cid:durableId="728967091">
    <w:abstractNumId w:val="3"/>
  </w:num>
  <w:num w:numId="3" w16cid:durableId="2052915952">
    <w:abstractNumId w:val="4"/>
  </w:num>
  <w:num w:numId="4" w16cid:durableId="6716450">
    <w:abstractNumId w:val="0"/>
  </w:num>
  <w:num w:numId="5" w16cid:durableId="1068040552">
    <w:abstractNumId w:val="2"/>
  </w:num>
  <w:num w:numId="6" w16cid:durableId="1841001365">
    <w:abstractNumId w:val="6"/>
  </w:num>
  <w:num w:numId="7" w16cid:durableId="1489595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0B"/>
    <w:rsid w:val="00126767"/>
    <w:rsid w:val="0042088E"/>
    <w:rsid w:val="005364ED"/>
    <w:rsid w:val="005422D0"/>
    <w:rsid w:val="009352AF"/>
    <w:rsid w:val="00937220"/>
    <w:rsid w:val="00C01229"/>
    <w:rsid w:val="00DB640B"/>
    <w:rsid w:val="00DB790C"/>
    <w:rsid w:val="00DE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EFA51B"/>
  <w15:chartTrackingRefBased/>
  <w15:docId w15:val="{A47A9F68-A518-354F-94E1-89E5DBCC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F64"/>
    <w:pPr>
      <w:ind w:firstLine="708"/>
      <w:jc w:val="both"/>
    </w:pPr>
    <w:rPr>
      <w:rFonts w:cs="Times New Roman"/>
    </w:rPr>
  </w:style>
  <w:style w:type="paragraph" w:styleId="Titre1">
    <w:name w:val="heading 1"/>
    <w:aliases w:val="Titre fiche"/>
    <w:basedOn w:val="Normal"/>
    <w:link w:val="Titre1Car"/>
    <w:uiPriority w:val="9"/>
    <w:qFormat/>
    <w:rsid w:val="0093722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6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6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6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64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64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64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64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fiche Car"/>
    <w:basedOn w:val="Policepardfaut"/>
    <w:link w:val="Titre1"/>
    <w:uiPriority w:val="9"/>
    <w:rsid w:val="009372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B6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6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64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64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64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64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64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64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64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640B"/>
    <w:pPr>
      <w:numPr>
        <w:ilvl w:val="1"/>
      </w:numPr>
      <w:spacing w:after="160"/>
      <w:ind w:firstLine="70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6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64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640B"/>
    <w:rPr>
      <w:rFonts w:cs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64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64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6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640B"/>
    <w:rPr>
      <w:rFonts w:cs="Times New Roman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6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CHERVET</dc:creator>
  <cp:keywords/>
  <dc:description/>
  <cp:lastModifiedBy>Morgan CHERVET</cp:lastModifiedBy>
  <cp:revision>1</cp:revision>
  <dcterms:created xsi:type="dcterms:W3CDTF">2025-06-29T08:50:00Z</dcterms:created>
  <dcterms:modified xsi:type="dcterms:W3CDTF">2025-06-29T08:50:00Z</dcterms:modified>
</cp:coreProperties>
</file>